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297A77" w14:textId="79806AD7" w:rsidR="00F070D5" w:rsidRDefault="00995BB8">
      <w:r>
        <w:rPr>
          <w:rFonts w:hint="eastAsia"/>
        </w:rPr>
        <w:t>Overview</w:t>
      </w:r>
    </w:p>
    <w:p w14:paraId="783C3947" w14:textId="77777777" w:rsidR="00995BB8" w:rsidRDefault="00995BB8"/>
    <w:p w14:paraId="7086E46F" w14:textId="77777777" w:rsidR="00995BB8" w:rsidRPr="00995BB8" w:rsidRDefault="00995BB8" w:rsidP="00995BB8">
      <w:r w:rsidRPr="00995BB8">
        <w:t>Cyclic Chambers are used for cyclic corrosion testing throughout the automotive, aerospace, coating, electronics, fasteners, and paints industries!</w:t>
      </w:r>
    </w:p>
    <w:p w14:paraId="01F669F1" w14:textId="77777777" w:rsidR="00995BB8" w:rsidRPr="00995BB8" w:rsidRDefault="00995BB8" w:rsidP="00995BB8">
      <w:r w:rsidRPr="00995BB8">
        <w:t>Whether you have been conducting cyclic corrosion testing for years or are new to it, you will find Cyclic Corrosion Chambers by </w:t>
      </w:r>
      <w:hyperlink r:id="rId5" w:history="1">
        <w:r w:rsidRPr="00995BB8">
          <w:rPr>
            <w:rStyle w:val="aa"/>
          </w:rPr>
          <w:t>the Singleton Corporation</w:t>
        </w:r>
      </w:hyperlink>
      <w:r w:rsidRPr="00995BB8">
        <w:t> reliable, easy to use and operate. They are built to provide the accuracy and flexibility necessary to meet today's stringent test methods.</w:t>
      </w:r>
    </w:p>
    <w:p w14:paraId="654B0084" w14:textId="77777777" w:rsidR="00995BB8" w:rsidRPr="00995BB8" w:rsidRDefault="00995BB8" w:rsidP="00995BB8">
      <w:pPr>
        <w:numPr>
          <w:ilvl w:val="0"/>
          <w:numId w:val="1"/>
        </w:numPr>
      </w:pPr>
      <w:r w:rsidRPr="00995BB8">
        <w:t>Fully automatic operation.</w:t>
      </w:r>
    </w:p>
    <w:p w14:paraId="095FAA1D" w14:textId="77777777" w:rsidR="00995BB8" w:rsidRPr="00995BB8" w:rsidRDefault="00995BB8" w:rsidP="00995BB8">
      <w:pPr>
        <w:numPr>
          <w:ilvl w:val="0"/>
          <w:numId w:val="1"/>
        </w:numPr>
      </w:pPr>
      <w:r w:rsidRPr="00995BB8">
        <w:t>Up to 16 pre-programmed tests.</w:t>
      </w:r>
    </w:p>
    <w:p w14:paraId="360DE311" w14:textId="77777777" w:rsidR="00995BB8" w:rsidRPr="00995BB8" w:rsidRDefault="00995BB8" w:rsidP="00995BB8">
      <w:pPr>
        <w:numPr>
          <w:ilvl w:val="0"/>
          <w:numId w:val="1"/>
        </w:numPr>
      </w:pPr>
      <w:r w:rsidRPr="00995BB8">
        <w:t>Color touch screen controls.</w:t>
      </w:r>
    </w:p>
    <w:p w14:paraId="4DCCD66C" w14:textId="77777777" w:rsidR="00995BB8" w:rsidRPr="00995BB8" w:rsidRDefault="00995BB8" w:rsidP="00995BB8">
      <w:pPr>
        <w:numPr>
          <w:ilvl w:val="0"/>
          <w:numId w:val="1"/>
        </w:numPr>
      </w:pPr>
      <w:r w:rsidRPr="00995BB8">
        <w:t>8 User-Defined Profiles with up to 20 steps and 12 environmental conditions are included to create your own tests.</w:t>
      </w:r>
    </w:p>
    <w:p w14:paraId="464ABF81" w14:textId="77777777" w:rsidR="00995BB8" w:rsidRPr="00995BB8" w:rsidRDefault="00995BB8" w:rsidP="00995BB8">
      <w:pPr>
        <w:numPr>
          <w:ilvl w:val="0"/>
          <w:numId w:val="1"/>
        </w:numPr>
      </w:pPr>
      <w:r w:rsidRPr="00995BB8">
        <w:t>50 gallon solution reservoir with see-through removable cover.</w:t>
      </w:r>
    </w:p>
    <w:p w14:paraId="3CA1A2A3" w14:textId="77777777" w:rsidR="00995BB8" w:rsidRPr="00995BB8" w:rsidRDefault="00995BB8" w:rsidP="00995BB8">
      <w:pPr>
        <w:numPr>
          <w:ilvl w:val="0"/>
          <w:numId w:val="1"/>
        </w:numPr>
      </w:pPr>
      <w:r w:rsidRPr="00995BB8">
        <w:t>On-board data logging and trending.</w:t>
      </w:r>
    </w:p>
    <w:p w14:paraId="1FE91AD6" w14:textId="77777777" w:rsidR="00995BB8" w:rsidRPr="00995BB8" w:rsidRDefault="00995BB8" w:rsidP="00995BB8">
      <w:pPr>
        <w:numPr>
          <w:ilvl w:val="0"/>
          <w:numId w:val="1"/>
        </w:numPr>
      </w:pPr>
      <w:r w:rsidRPr="00995BB8">
        <w:t>Precise testing at economical pricing.</w:t>
      </w:r>
    </w:p>
    <w:p w14:paraId="4CB7527E" w14:textId="77777777" w:rsidR="00995BB8" w:rsidRPr="00995BB8" w:rsidRDefault="00995BB8" w:rsidP="00995BB8">
      <w:pPr>
        <w:numPr>
          <w:ilvl w:val="0"/>
          <w:numId w:val="1"/>
        </w:numPr>
      </w:pPr>
      <w:r w:rsidRPr="00995BB8">
        <w:t>RH Select Humidity Control between 30-100%.</w:t>
      </w:r>
    </w:p>
    <w:p w14:paraId="2FE481F1" w14:textId="77777777" w:rsidR="00995BB8" w:rsidRPr="00995BB8" w:rsidRDefault="00995BB8" w:rsidP="00995BB8">
      <w:pPr>
        <w:numPr>
          <w:ilvl w:val="0"/>
          <w:numId w:val="1"/>
        </w:numPr>
      </w:pPr>
      <w:r w:rsidRPr="00995BB8">
        <w:t>Testing and Certifications on all instrumentation to NIST standards prior to shipment.</w:t>
      </w:r>
    </w:p>
    <w:p w14:paraId="6C59D00B" w14:textId="77777777" w:rsidR="00995BB8" w:rsidRPr="00995BB8" w:rsidRDefault="00995BB8" w:rsidP="00995BB8">
      <w:r w:rsidRPr="00995BB8">
        <w:t>All of our Cyclic Corrosion Test Chambers have the necessary test specifications pre-programmed in the control system. Test specifications include; the SAE J 2334, ASTM G85 Annex 5, GM 9540P, GMW 14872, </w:t>
      </w:r>
      <w:hyperlink r:id="rId6" w:history="1">
        <w:r w:rsidRPr="00995BB8">
          <w:rPr>
            <w:rStyle w:val="aa"/>
          </w:rPr>
          <w:t>ASTM B117</w:t>
        </w:r>
      </w:hyperlink>
      <w:r w:rsidRPr="00995BB8">
        <w:t>, and ASTM D1735. There is room for more, 16 in total, if you can provide the relevant specifications we can pre-program it for you.</w:t>
      </w:r>
    </w:p>
    <w:p w14:paraId="4C8F1980" w14:textId="77777777" w:rsidR="00995BB8" w:rsidRPr="00995BB8" w:rsidRDefault="00995BB8" w:rsidP="00995BB8">
      <w:r w:rsidRPr="00995BB8">
        <w:t>Data Logging</w:t>
      </w:r>
    </w:p>
    <w:p w14:paraId="28D225BC" w14:textId="77777777" w:rsidR="00995BB8" w:rsidRPr="00995BB8" w:rsidRDefault="00995BB8" w:rsidP="00995BB8">
      <w:r w:rsidRPr="00995BB8">
        <w:t>Test data is stored locally on an internal Secure Digital (SD) card. The data can be transferred to a computer for further analysis by either copying it from the SD memory card or using FTP to transfer over the local network.</w:t>
      </w:r>
    </w:p>
    <w:p w14:paraId="20FE55CC" w14:textId="77777777" w:rsidR="00995BB8" w:rsidRPr="00995BB8" w:rsidRDefault="00995BB8" w:rsidP="00995BB8">
      <w:r w:rsidRPr="00995BB8">
        <w:t>RH Select Humidity Control (patent#5824918)</w:t>
      </w:r>
    </w:p>
    <w:p w14:paraId="582E24EF" w14:textId="77777777" w:rsidR="00995BB8" w:rsidRPr="00995BB8" w:rsidRDefault="00995BB8" w:rsidP="00995BB8">
      <w:r w:rsidRPr="00995BB8">
        <w:t xml:space="preserve">Permits selectable/programmable humidity exposure conditions from 30-100% (except as limited by extreme ambient temperature conditions). Controlled and displayed at the touch </w:t>
      </w:r>
      <w:r w:rsidRPr="00995BB8">
        <w:lastRenderedPageBreak/>
        <w:t xml:space="preserve">screen operator interface. Required to perform ASTM G85 Annex 5, GM 9540 P, GMW 14872, and SAE J 2334. The RH Select Humidity Control includes the Humidity Sensor Shielding System. This system provides precise </w:t>
      </w:r>
      <w:proofErr w:type="spellStart"/>
      <w:r w:rsidRPr="00995BB8">
        <w:t>testings</w:t>
      </w:r>
      <w:proofErr w:type="spellEnd"/>
      <w:r w:rsidRPr="00995BB8">
        <w:t xml:space="preserve"> and readings for more aggressive environments.</w:t>
      </w:r>
    </w:p>
    <w:p w14:paraId="7D4BDD01" w14:textId="77777777" w:rsidR="00995BB8" w:rsidRPr="00995BB8" w:rsidRDefault="00995BB8" w:rsidP="00995BB8">
      <w:r w:rsidRPr="00995BB8">
        <w:t>Additional </w:t>
      </w:r>
      <w:hyperlink r:id="rId7" w:history="1">
        <w:r w:rsidRPr="00995BB8">
          <w:rPr>
            <w:rStyle w:val="aa"/>
          </w:rPr>
          <w:t>Environmental Testing Chambers</w:t>
        </w:r>
      </w:hyperlink>
      <w:r w:rsidRPr="00995BB8">
        <w:t> that we carry:</w:t>
      </w:r>
    </w:p>
    <w:p w14:paraId="626A7D0D" w14:textId="77777777" w:rsidR="00995BB8" w:rsidRPr="00995BB8" w:rsidRDefault="00995BB8" w:rsidP="00995BB8">
      <w:pPr>
        <w:numPr>
          <w:ilvl w:val="0"/>
          <w:numId w:val="2"/>
        </w:numPr>
      </w:pPr>
      <w:r w:rsidRPr="00995BB8">
        <w:rPr>
          <w:b/>
          <w:bCs/>
        </w:rPr>
        <w:t>SCCH - </w:t>
      </w:r>
      <w:hyperlink r:id="rId8" w:history="1">
        <w:r w:rsidRPr="00995BB8">
          <w:rPr>
            <w:rStyle w:val="aa"/>
            <w:b/>
            <w:bCs/>
          </w:rPr>
          <w:t>Salt Fog Chamber</w:t>
        </w:r>
      </w:hyperlink>
      <w:r w:rsidRPr="00995BB8">
        <w:rPr>
          <w:b/>
          <w:bCs/>
        </w:rPr>
        <w:t>.</w:t>
      </w:r>
      <w:r w:rsidRPr="00995BB8">
        <w:br/>
        <w:t>Sizes are available ranging from 9.3 cubic feet to 2,508 cubic feet.</w:t>
      </w:r>
    </w:p>
    <w:p w14:paraId="2A4C4825" w14:textId="77777777" w:rsidR="00995BB8" w:rsidRPr="00995BB8" w:rsidRDefault="00995BB8" w:rsidP="00995BB8">
      <w:pPr>
        <w:numPr>
          <w:ilvl w:val="0"/>
          <w:numId w:val="2"/>
        </w:numPr>
      </w:pPr>
      <w:r w:rsidRPr="00995BB8">
        <w:rPr>
          <w:b/>
          <w:bCs/>
        </w:rPr>
        <w:t>DUST - </w:t>
      </w:r>
      <w:hyperlink r:id="rId9" w:history="1">
        <w:r w:rsidRPr="00995BB8">
          <w:rPr>
            <w:rStyle w:val="aa"/>
            <w:b/>
            <w:bCs/>
          </w:rPr>
          <w:t>Dust Chambers</w:t>
        </w:r>
      </w:hyperlink>
      <w:r w:rsidRPr="00995BB8">
        <w:rPr>
          <w:b/>
          <w:bCs/>
        </w:rPr>
        <w:t>. </w:t>
      </w:r>
      <w:r w:rsidRPr="00995BB8">
        <w:br/>
        <w:t>Meeting all requirements for the SAE J 575 and GM 9103 P test specifications. </w:t>
      </w:r>
    </w:p>
    <w:p w14:paraId="4B7886E9" w14:textId="77777777" w:rsidR="00995BB8" w:rsidRPr="00995BB8" w:rsidRDefault="00995BB8" w:rsidP="00995BB8">
      <w:pPr>
        <w:numPr>
          <w:ilvl w:val="0"/>
          <w:numId w:val="2"/>
        </w:numPr>
      </w:pPr>
      <w:r w:rsidRPr="00995BB8">
        <w:rPr>
          <w:b/>
          <w:bCs/>
        </w:rPr>
        <w:t>WITT - </w:t>
      </w:r>
      <w:hyperlink r:id="rId10" w:history="1">
        <w:r w:rsidRPr="00995BB8">
          <w:rPr>
            <w:rStyle w:val="aa"/>
            <w:b/>
            <w:bCs/>
          </w:rPr>
          <w:t>Water Immersion Testing Systems</w:t>
        </w:r>
      </w:hyperlink>
      <w:r w:rsidRPr="00995BB8">
        <w:rPr>
          <w:b/>
          <w:bCs/>
        </w:rPr>
        <w:t>.</w:t>
      </w:r>
      <w:r w:rsidRPr="00995BB8">
        <w:br/>
        <w:t>Meeting all requirements for the ASTM D870 test specifications.</w:t>
      </w:r>
    </w:p>
    <w:p w14:paraId="69DC7FD2" w14:textId="27026AFD" w:rsidR="00995BB8" w:rsidRPr="0029550F" w:rsidRDefault="00995BB8" w:rsidP="00995BB8">
      <w:pPr>
        <w:rPr>
          <w:color w:val="196B24" w:themeColor="accent3"/>
          <w:sz w:val="32"/>
          <w:szCs w:val="32"/>
        </w:rPr>
      </w:pPr>
      <w:r w:rsidRPr="00995BB8">
        <w:rPr>
          <w:color w:val="196B24" w:themeColor="accent3"/>
          <w:sz w:val="32"/>
          <w:szCs w:val="32"/>
        </w:rPr>
        <w:t> </w:t>
      </w:r>
      <w:r w:rsidR="0029550F" w:rsidRPr="0029550F">
        <w:rPr>
          <w:rFonts w:hint="eastAsia"/>
          <w:color w:val="196B24" w:themeColor="accent3"/>
          <w:sz w:val="32"/>
          <w:szCs w:val="32"/>
        </w:rPr>
        <w:t>Technical information</w:t>
      </w:r>
    </w:p>
    <w:p w14:paraId="0499C997" w14:textId="77777777" w:rsidR="0029550F" w:rsidRPr="00995BB8" w:rsidRDefault="0029550F" w:rsidP="00995BB8">
      <w:pPr>
        <w:rPr>
          <w:rFonts w:hint="eastAsia"/>
        </w:rPr>
      </w:pPr>
    </w:p>
    <w:tbl>
      <w:tblPr>
        <w:tblW w:w="0" w:type="auto"/>
        <w:tblCellMar>
          <w:left w:w="0" w:type="dxa"/>
          <w:right w:w="0" w:type="dxa"/>
        </w:tblCellMar>
        <w:tblLook w:val="04A0" w:firstRow="1" w:lastRow="0" w:firstColumn="1" w:lastColumn="0" w:noHBand="0" w:noVBand="1"/>
      </w:tblPr>
      <w:tblGrid>
        <w:gridCol w:w="1777"/>
        <w:gridCol w:w="1802"/>
        <w:gridCol w:w="1707"/>
        <w:gridCol w:w="1929"/>
        <w:gridCol w:w="715"/>
        <w:gridCol w:w="715"/>
        <w:gridCol w:w="715"/>
      </w:tblGrid>
      <w:tr w:rsidR="0029550F" w:rsidRPr="0029550F" w14:paraId="03B8A0F9" w14:textId="77777777" w:rsidTr="0029550F">
        <w:trPr>
          <w:gridAfter w:val="6"/>
        </w:trPr>
        <w:tc>
          <w:tcPr>
            <w:tcW w:w="0" w:type="auto"/>
            <w:vAlign w:val="center"/>
            <w:hideMark/>
          </w:tcPr>
          <w:p w14:paraId="09830DE4" w14:textId="77777777" w:rsidR="0029550F" w:rsidRPr="0029550F" w:rsidRDefault="0029550F" w:rsidP="0029550F"/>
        </w:tc>
      </w:tr>
      <w:tr w:rsidR="0029550F" w:rsidRPr="0029550F" w14:paraId="25BB8A48" w14:textId="77777777" w:rsidTr="0029550F">
        <w:tc>
          <w:tcPr>
            <w:tcW w:w="0" w:type="auto"/>
            <w:tcBorders>
              <w:top w:val="single" w:sz="6" w:space="0" w:color="DDDDDD"/>
              <w:left w:val="single" w:sz="6" w:space="0" w:color="DDDDDD"/>
              <w:bottom w:val="single" w:sz="6" w:space="0" w:color="DDDDDD"/>
              <w:right w:val="single" w:sz="6" w:space="0" w:color="DDDDDD"/>
            </w:tcBorders>
            <w:tcMar>
              <w:top w:w="60" w:type="dxa"/>
              <w:left w:w="60" w:type="dxa"/>
              <w:bottom w:w="60" w:type="dxa"/>
              <w:right w:w="60" w:type="dxa"/>
            </w:tcMar>
            <w:vAlign w:val="bottom"/>
            <w:hideMark/>
          </w:tcPr>
          <w:p w14:paraId="5D042C53" w14:textId="77777777" w:rsidR="0029550F" w:rsidRPr="0029550F" w:rsidRDefault="0029550F" w:rsidP="0029550F">
            <w:r w:rsidRPr="0029550F">
              <w:t>Temperature Range</w:t>
            </w:r>
          </w:p>
        </w:tc>
        <w:tc>
          <w:tcPr>
            <w:tcW w:w="0" w:type="auto"/>
            <w:gridSpan w:val="6"/>
            <w:tcBorders>
              <w:top w:val="single" w:sz="6" w:space="0" w:color="DDDDDD"/>
              <w:left w:val="single" w:sz="6" w:space="0" w:color="DDDDDD"/>
              <w:bottom w:val="single" w:sz="6" w:space="0" w:color="DDDDDD"/>
              <w:right w:val="single" w:sz="6" w:space="0" w:color="DDDDDD"/>
            </w:tcBorders>
            <w:tcMar>
              <w:top w:w="60" w:type="dxa"/>
              <w:left w:w="60" w:type="dxa"/>
              <w:bottom w:w="60" w:type="dxa"/>
              <w:right w:w="60" w:type="dxa"/>
            </w:tcMar>
            <w:vAlign w:val="bottom"/>
            <w:hideMark/>
          </w:tcPr>
          <w:p w14:paraId="04254B04" w14:textId="77777777" w:rsidR="0029550F" w:rsidRPr="0029550F" w:rsidRDefault="0029550F" w:rsidP="0029550F">
            <w:r w:rsidRPr="0029550F">
              <w:t>Ambient to 140°F/60°C</w:t>
            </w:r>
          </w:p>
        </w:tc>
      </w:tr>
      <w:tr w:rsidR="0029550F" w:rsidRPr="0029550F" w14:paraId="4CC402CA" w14:textId="77777777" w:rsidTr="0029550F">
        <w:tc>
          <w:tcPr>
            <w:tcW w:w="0" w:type="auto"/>
            <w:tcBorders>
              <w:top w:val="single" w:sz="6" w:space="0" w:color="DDDDDD"/>
              <w:left w:val="single" w:sz="6" w:space="0" w:color="DDDDDD"/>
              <w:bottom w:val="single" w:sz="6" w:space="0" w:color="DDDDDD"/>
              <w:right w:val="single" w:sz="6" w:space="0" w:color="DDDDDD"/>
            </w:tcBorders>
            <w:tcMar>
              <w:top w:w="60" w:type="dxa"/>
              <w:left w:w="60" w:type="dxa"/>
              <w:bottom w:w="60" w:type="dxa"/>
              <w:right w:w="60" w:type="dxa"/>
            </w:tcMar>
            <w:vAlign w:val="bottom"/>
            <w:hideMark/>
          </w:tcPr>
          <w:p w14:paraId="26B4BDFB" w14:textId="77777777" w:rsidR="0029550F" w:rsidRPr="0029550F" w:rsidRDefault="0029550F" w:rsidP="0029550F">
            <w:r w:rsidRPr="0029550F">
              <w:t>Humidity Range</w:t>
            </w:r>
          </w:p>
        </w:tc>
        <w:tc>
          <w:tcPr>
            <w:tcW w:w="0" w:type="auto"/>
            <w:gridSpan w:val="6"/>
            <w:tcBorders>
              <w:top w:val="single" w:sz="6" w:space="0" w:color="DDDDDD"/>
              <w:left w:val="single" w:sz="6" w:space="0" w:color="DDDDDD"/>
              <w:bottom w:val="single" w:sz="6" w:space="0" w:color="DDDDDD"/>
              <w:right w:val="single" w:sz="6" w:space="0" w:color="DDDDDD"/>
            </w:tcBorders>
            <w:tcMar>
              <w:top w:w="60" w:type="dxa"/>
              <w:left w:w="60" w:type="dxa"/>
              <w:bottom w:w="60" w:type="dxa"/>
              <w:right w:w="60" w:type="dxa"/>
            </w:tcMar>
            <w:vAlign w:val="bottom"/>
            <w:hideMark/>
          </w:tcPr>
          <w:p w14:paraId="7EE90725" w14:textId="77777777" w:rsidR="0029550F" w:rsidRPr="0029550F" w:rsidRDefault="0029550F" w:rsidP="0029550F">
            <w:r w:rsidRPr="0029550F">
              <w:t>30-100% (+/- 3%)</w:t>
            </w:r>
          </w:p>
        </w:tc>
      </w:tr>
      <w:tr w:rsidR="0029550F" w:rsidRPr="0029550F" w14:paraId="603F62DF" w14:textId="77777777" w:rsidTr="0029550F">
        <w:tc>
          <w:tcPr>
            <w:tcW w:w="0" w:type="auto"/>
            <w:tcBorders>
              <w:top w:val="single" w:sz="6" w:space="0" w:color="DDDDDD"/>
              <w:left w:val="single" w:sz="6" w:space="0" w:color="DDDDDD"/>
              <w:bottom w:val="single" w:sz="6" w:space="0" w:color="DDDDDD"/>
              <w:right w:val="single" w:sz="6" w:space="0" w:color="DDDDDD"/>
            </w:tcBorders>
            <w:tcMar>
              <w:top w:w="60" w:type="dxa"/>
              <w:left w:w="60" w:type="dxa"/>
              <w:bottom w:w="60" w:type="dxa"/>
              <w:right w:w="60" w:type="dxa"/>
            </w:tcMar>
            <w:vAlign w:val="bottom"/>
            <w:hideMark/>
          </w:tcPr>
          <w:p w14:paraId="16ABCC0A" w14:textId="77777777" w:rsidR="0029550F" w:rsidRPr="0029550F" w:rsidRDefault="0029550F" w:rsidP="0029550F">
            <w:r w:rsidRPr="0029550F">
              <w:t>Drain</w:t>
            </w:r>
          </w:p>
        </w:tc>
        <w:tc>
          <w:tcPr>
            <w:tcW w:w="0" w:type="auto"/>
            <w:gridSpan w:val="6"/>
            <w:tcBorders>
              <w:top w:val="single" w:sz="6" w:space="0" w:color="DDDDDD"/>
              <w:left w:val="single" w:sz="6" w:space="0" w:color="DDDDDD"/>
              <w:bottom w:val="single" w:sz="6" w:space="0" w:color="DDDDDD"/>
              <w:right w:val="single" w:sz="6" w:space="0" w:color="DDDDDD"/>
            </w:tcBorders>
            <w:tcMar>
              <w:top w:w="60" w:type="dxa"/>
              <w:left w:w="60" w:type="dxa"/>
              <w:bottom w:w="60" w:type="dxa"/>
              <w:right w:w="60" w:type="dxa"/>
            </w:tcMar>
            <w:vAlign w:val="bottom"/>
            <w:hideMark/>
          </w:tcPr>
          <w:p w14:paraId="57BF4824" w14:textId="77777777" w:rsidR="0029550F" w:rsidRPr="0029550F" w:rsidRDefault="0029550F" w:rsidP="0029550F">
            <w:r w:rsidRPr="0029550F">
              <w:t>Access to a floor drain is required</w:t>
            </w:r>
          </w:p>
        </w:tc>
      </w:tr>
      <w:tr w:rsidR="0029550F" w:rsidRPr="0029550F" w14:paraId="6569EB50" w14:textId="77777777" w:rsidTr="0029550F">
        <w:tc>
          <w:tcPr>
            <w:tcW w:w="0" w:type="auto"/>
            <w:tcBorders>
              <w:top w:val="single" w:sz="6" w:space="0" w:color="DDDDDD"/>
              <w:left w:val="single" w:sz="6" w:space="0" w:color="DDDDDD"/>
              <w:bottom w:val="single" w:sz="6" w:space="0" w:color="DDDDDD"/>
              <w:right w:val="single" w:sz="6" w:space="0" w:color="DDDDDD"/>
            </w:tcBorders>
            <w:tcMar>
              <w:top w:w="60" w:type="dxa"/>
              <w:left w:w="60" w:type="dxa"/>
              <w:bottom w:w="60" w:type="dxa"/>
              <w:right w:w="60" w:type="dxa"/>
            </w:tcMar>
            <w:vAlign w:val="bottom"/>
            <w:hideMark/>
          </w:tcPr>
          <w:p w14:paraId="7AC0DE06" w14:textId="77777777" w:rsidR="0029550F" w:rsidRPr="0029550F" w:rsidRDefault="0029550F" w:rsidP="0029550F">
            <w:r w:rsidRPr="0029550F">
              <w:t>Exhaust</w:t>
            </w:r>
          </w:p>
        </w:tc>
        <w:tc>
          <w:tcPr>
            <w:tcW w:w="0" w:type="auto"/>
            <w:gridSpan w:val="6"/>
            <w:tcBorders>
              <w:top w:val="single" w:sz="6" w:space="0" w:color="DDDDDD"/>
              <w:left w:val="single" w:sz="6" w:space="0" w:color="DDDDDD"/>
              <w:bottom w:val="single" w:sz="6" w:space="0" w:color="DDDDDD"/>
              <w:right w:val="single" w:sz="6" w:space="0" w:color="DDDDDD"/>
            </w:tcBorders>
            <w:tcMar>
              <w:top w:w="60" w:type="dxa"/>
              <w:left w:w="60" w:type="dxa"/>
              <w:bottom w:w="60" w:type="dxa"/>
              <w:right w:w="60" w:type="dxa"/>
            </w:tcMar>
            <w:vAlign w:val="bottom"/>
            <w:hideMark/>
          </w:tcPr>
          <w:p w14:paraId="5412844A" w14:textId="77777777" w:rsidR="0029550F" w:rsidRPr="0029550F" w:rsidRDefault="0029550F" w:rsidP="0029550F">
            <w:r w:rsidRPr="0029550F">
              <w:t>Vent to the outside or see additional option</w:t>
            </w:r>
          </w:p>
        </w:tc>
      </w:tr>
      <w:tr w:rsidR="0029550F" w:rsidRPr="0029550F" w14:paraId="5EA5CD0E" w14:textId="77777777" w:rsidTr="0029550F">
        <w:tc>
          <w:tcPr>
            <w:tcW w:w="0" w:type="auto"/>
            <w:tcBorders>
              <w:top w:val="single" w:sz="6" w:space="0" w:color="DDDDDD"/>
              <w:left w:val="single" w:sz="6" w:space="0" w:color="DDDDDD"/>
              <w:bottom w:val="single" w:sz="6" w:space="0" w:color="DDDDDD"/>
              <w:right w:val="single" w:sz="6" w:space="0" w:color="DDDDDD"/>
            </w:tcBorders>
            <w:tcMar>
              <w:top w:w="60" w:type="dxa"/>
              <w:left w:w="60" w:type="dxa"/>
              <w:bottom w:w="60" w:type="dxa"/>
              <w:right w:w="60" w:type="dxa"/>
            </w:tcMar>
            <w:vAlign w:val="bottom"/>
            <w:hideMark/>
          </w:tcPr>
          <w:p w14:paraId="2B755380" w14:textId="77777777" w:rsidR="0029550F" w:rsidRPr="0029550F" w:rsidRDefault="0029550F" w:rsidP="0029550F">
            <w:r w:rsidRPr="0029550F">
              <w:t>Warranty</w:t>
            </w:r>
          </w:p>
        </w:tc>
        <w:tc>
          <w:tcPr>
            <w:tcW w:w="0" w:type="auto"/>
            <w:gridSpan w:val="6"/>
            <w:tcBorders>
              <w:top w:val="single" w:sz="6" w:space="0" w:color="DDDDDD"/>
              <w:left w:val="single" w:sz="6" w:space="0" w:color="DDDDDD"/>
              <w:bottom w:val="single" w:sz="6" w:space="0" w:color="DDDDDD"/>
              <w:right w:val="single" w:sz="6" w:space="0" w:color="DDDDDD"/>
            </w:tcBorders>
            <w:tcMar>
              <w:top w:w="60" w:type="dxa"/>
              <w:left w:w="60" w:type="dxa"/>
              <w:bottom w:w="60" w:type="dxa"/>
              <w:right w:w="60" w:type="dxa"/>
            </w:tcMar>
            <w:vAlign w:val="bottom"/>
            <w:hideMark/>
          </w:tcPr>
          <w:p w14:paraId="4F111D81" w14:textId="77777777" w:rsidR="0029550F" w:rsidRPr="0029550F" w:rsidRDefault="0029550F" w:rsidP="0029550F">
            <w:r w:rsidRPr="0029550F">
              <w:t>One year limited warranty</w:t>
            </w:r>
          </w:p>
        </w:tc>
      </w:tr>
      <w:tr w:rsidR="0029550F" w:rsidRPr="0029550F" w14:paraId="10430116" w14:textId="77777777" w:rsidTr="0029550F">
        <w:tc>
          <w:tcPr>
            <w:tcW w:w="0" w:type="auto"/>
            <w:tcBorders>
              <w:top w:val="single" w:sz="6" w:space="0" w:color="DDDDDD"/>
              <w:left w:val="single" w:sz="6" w:space="0" w:color="DDDDDD"/>
              <w:bottom w:val="single" w:sz="6" w:space="0" w:color="DDDDDD"/>
              <w:right w:val="single" w:sz="6" w:space="0" w:color="DDDDDD"/>
            </w:tcBorders>
            <w:tcMar>
              <w:top w:w="60" w:type="dxa"/>
              <w:left w:w="60" w:type="dxa"/>
              <w:bottom w:w="60" w:type="dxa"/>
              <w:right w:w="60" w:type="dxa"/>
            </w:tcMar>
            <w:vAlign w:val="bottom"/>
            <w:hideMark/>
          </w:tcPr>
          <w:p w14:paraId="19B88135" w14:textId="77777777" w:rsidR="0029550F" w:rsidRPr="0029550F" w:rsidRDefault="0029550F" w:rsidP="0029550F">
            <w:r w:rsidRPr="0029550F">
              <w:t>Model #</w:t>
            </w:r>
          </w:p>
        </w:tc>
        <w:tc>
          <w:tcPr>
            <w:tcW w:w="0" w:type="auto"/>
            <w:tcBorders>
              <w:top w:val="single" w:sz="6" w:space="0" w:color="DDDDDD"/>
              <w:left w:val="single" w:sz="6" w:space="0" w:color="DDDDDD"/>
              <w:bottom w:val="single" w:sz="6" w:space="0" w:color="DDDDDD"/>
              <w:right w:val="single" w:sz="6" w:space="0" w:color="DDDDDD"/>
            </w:tcBorders>
            <w:tcMar>
              <w:top w:w="60" w:type="dxa"/>
              <w:left w:w="60" w:type="dxa"/>
              <w:bottom w:w="60" w:type="dxa"/>
              <w:right w:w="60" w:type="dxa"/>
            </w:tcMar>
            <w:vAlign w:val="bottom"/>
            <w:hideMark/>
          </w:tcPr>
          <w:p w14:paraId="5641900A" w14:textId="77777777" w:rsidR="0029550F" w:rsidRPr="0029550F" w:rsidRDefault="0029550F" w:rsidP="0029550F">
            <w:r w:rsidRPr="0029550F">
              <w:t>Sample Space Volume*</w:t>
            </w:r>
          </w:p>
        </w:tc>
        <w:tc>
          <w:tcPr>
            <w:tcW w:w="0" w:type="auto"/>
            <w:tcBorders>
              <w:top w:val="single" w:sz="6" w:space="0" w:color="DDDDDD"/>
              <w:left w:val="single" w:sz="6" w:space="0" w:color="DDDDDD"/>
              <w:bottom w:val="single" w:sz="6" w:space="0" w:color="DDDDDD"/>
              <w:right w:val="single" w:sz="6" w:space="0" w:color="DDDDDD"/>
            </w:tcBorders>
            <w:tcMar>
              <w:top w:w="60" w:type="dxa"/>
              <w:left w:w="60" w:type="dxa"/>
              <w:bottom w:w="60" w:type="dxa"/>
              <w:right w:w="60" w:type="dxa"/>
            </w:tcMar>
            <w:vAlign w:val="bottom"/>
            <w:hideMark/>
          </w:tcPr>
          <w:p w14:paraId="2C3FBBE8" w14:textId="77777777" w:rsidR="0029550F" w:rsidRPr="0029550F" w:rsidRDefault="0029550F" w:rsidP="0029550F">
            <w:r w:rsidRPr="0029550F">
              <w:t>Inside Dimensions</w:t>
            </w:r>
          </w:p>
        </w:tc>
        <w:tc>
          <w:tcPr>
            <w:tcW w:w="0" w:type="auto"/>
            <w:tcBorders>
              <w:top w:val="single" w:sz="6" w:space="0" w:color="DDDDDD"/>
              <w:left w:val="single" w:sz="6" w:space="0" w:color="DDDDDD"/>
              <w:bottom w:val="single" w:sz="6" w:space="0" w:color="DDDDDD"/>
              <w:right w:val="single" w:sz="6" w:space="0" w:color="DDDDDD"/>
            </w:tcBorders>
            <w:tcMar>
              <w:top w:w="60" w:type="dxa"/>
              <w:left w:w="60" w:type="dxa"/>
              <w:bottom w:w="60" w:type="dxa"/>
              <w:right w:w="60" w:type="dxa"/>
            </w:tcMar>
            <w:vAlign w:val="bottom"/>
            <w:hideMark/>
          </w:tcPr>
          <w:p w14:paraId="241878D1" w14:textId="77777777" w:rsidR="0029550F" w:rsidRPr="0029550F" w:rsidRDefault="0029550F" w:rsidP="0029550F">
            <w:r w:rsidRPr="0029550F">
              <w:t xml:space="preserve">Outside </w:t>
            </w:r>
            <w:proofErr w:type="spellStart"/>
            <w:r w:rsidRPr="0029550F">
              <w:t>Dimenesions</w:t>
            </w:r>
            <w:proofErr w:type="spellEnd"/>
          </w:p>
        </w:tc>
        <w:tc>
          <w:tcPr>
            <w:tcW w:w="0" w:type="auto"/>
            <w:tcBorders>
              <w:top w:val="single" w:sz="6" w:space="0" w:color="DDDDDD"/>
              <w:left w:val="single" w:sz="6" w:space="0" w:color="DDDDDD"/>
              <w:bottom w:val="single" w:sz="6" w:space="0" w:color="DDDDDD"/>
              <w:right w:val="single" w:sz="6" w:space="0" w:color="DDDDDD"/>
            </w:tcBorders>
            <w:tcMar>
              <w:top w:w="60" w:type="dxa"/>
              <w:left w:w="60" w:type="dxa"/>
              <w:bottom w:w="60" w:type="dxa"/>
              <w:right w:w="60" w:type="dxa"/>
            </w:tcMar>
            <w:vAlign w:val="bottom"/>
            <w:hideMark/>
          </w:tcPr>
          <w:p w14:paraId="59DFB2FB" w14:textId="77777777" w:rsidR="0029550F" w:rsidRPr="0029550F" w:rsidRDefault="0029550F" w:rsidP="0029550F">
            <w:r w:rsidRPr="0029550F">
              <w:t>240/1</w:t>
            </w:r>
          </w:p>
        </w:tc>
        <w:tc>
          <w:tcPr>
            <w:tcW w:w="0" w:type="auto"/>
            <w:tcBorders>
              <w:top w:val="single" w:sz="6" w:space="0" w:color="DDDDDD"/>
              <w:left w:val="single" w:sz="6" w:space="0" w:color="DDDDDD"/>
              <w:bottom w:val="single" w:sz="6" w:space="0" w:color="DDDDDD"/>
              <w:right w:val="single" w:sz="6" w:space="0" w:color="DDDDDD"/>
            </w:tcBorders>
            <w:tcMar>
              <w:top w:w="60" w:type="dxa"/>
              <w:left w:w="60" w:type="dxa"/>
              <w:bottom w:w="60" w:type="dxa"/>
              <w:right w:w="60" w:type="dxa"/>
            </w:tcMar>
            <w:vAlign w:val="bottom"/>
            <w:hideMark/>
          </w:tcPr>
          <w:p w14:paraId="75E224D7" w14:textId="77777777" w:rsidR="0029550F" w:rsidRPr="0029550F" w:rsidRDefault="0029550F" w:rsidP="0029550F">
            <w:r w:rsidRPr="0029550F">
              <w:t>240/3</w:t>
            </w:r>
          </w:p>
        </w:tc>
        <w:tc>
          <w:tcPr>
            <w:tcW w:w="0" w:type="auto"/>
            <w:tcBorders>
              <w:top w:val="single" w:sz="6" w:space="0" w:color="DDDDDD"/>
              <w:left w:val="single" w:sz="6" w:space="0" w:color="DDDDDD"/>
              <w:bottom w:val="single" w:sz="6" w:space="0" w:color="DDDDDD"/>
              <w:right w:val="single" w:sz="6" w:space="0" w:color="DDDDDD"/>
            </w:tcBorders>
            <w:tcMar>
              <w:top w:w="60" w:type="dxa"/>
              <w:left w:w="60" w:type="dxa"/>
              <w:bottom w:w="60" w:type="dxa"/>
              <w:right w:w="60" w:type="dxa"/>
            </w:tcMar>
            <w:vAlign w:val="bottom"/>
            <w:hideMark/>
          </w:tcPr>
          <w:p w14:paraId="7FAC4E41" w14:textId="77777777" w:rsidR="0029550F" w:rsidRPr="0029550F" w:rsidRDefault="0029550F" w:rsidP="0029550F">
            <w:r w:rsidRPr="0029550F">
              <w:t>480/3</w:t>
            </w:r>
          </w:p>
        </w:tc>
      </w:tr>
      <w:tr w:rsidR="0029550F" w:rsidRPr="0029550F" w14:paraId="73F2D654" w14:textId="77777777" w:rsidTr="0029550F">
        <w:tc>
          <w:tcPr>
            <w:tcW w:w="0" w:type="auto"/>
            <w:tcBorders>
              <w:top w:val="single" w:sz="6" w:space="0" w:color="DDDDDD"/>
              <w:left w:val="single" w:sz="6" w:space="0" w:color="DDDDDD"/>
              <w:bottom w:val="single" w:sz="6" w:space="0" w:color="DDDDDD"/>
              <w:right w:val="single" w:sz="6" w:space="0" w:color="DDDDDD"/>
            </w:tcBorders>
            <w:tcMar>
              <w:top w:w="60" w:type="dxa"/>
              <w:left w:w="60" w:type="dxa"/>
              <w:bottom w:w="60" w:type="dxa"/>
              <w:right w:w="60" w:type="dxa"/>
            </w:tcMar>
            <w:vAlign w:val="bottom"/>
            <w:hideMark/>
          </w:tcPr>
          <w:p w14:paraId="758D6B00" w14:textId="77777777" w:rsidR="0029550F" w:rsidRPr="0029550F" w:rsidRDefault="0029550F" w:rsidP="0029550F">
            <w:r w:rsidRPr="0029550F">
              <w:t>CCT10</w:t>
            </w:r>
          </w:p>
        </w:tc>
        <w:tc>
          <w:tcPr>
            <w:tcW w:w="0" w:type="auto"/>
            <w:tcBorders>
              <w:top w:val="single" w:sz="6" w:space="0" w:color="DDDDDD"/>
              <w:left w:val="single" w:sz="6" w:space="0" w:color="DDDDDD"/>
              <w:bottom w:val="single" w:sz="6" w:space="0" w:color="DDDDDD"/>
              <w:right w:val="single" w:sz="6" w:space="0" w:color="DDDDDD"/>
            </w:tcBorders>
            <w:tcMar>
              <w:top w:w="60" w:type="dxa"/>
              <w:left w:w="60" w:type="dxa"/>
              <w:bottom w:w="60" w:type="dxa"/>
              <w:right w:w="60" w:type="dxa"/>
            </w:tcMar>
            <w:vAlign w:val="bottom"/>
            <w:hideMark/>
          </w:tcPr>
          <w:p w14:paraId="4D4EE02D" w14:textId="77777777" w:rsidR="0029550F" w:rsidRPr="0029550F" w:rsidRDefault="0029550F" w:rsidP="0029550F">
            <w:r w:rsidRPr="0029550F">
              <w:t>21ft</w:t>
            </w:r>
            <w:r w:rsidRPr="0029550F">
              <w:rPr>
                <w:vertAlign w:val="superscript"/>
              </w:rPr>
              <w:t>3</w:t>
            </w:r>
          </w:p>
        </w:tc>
        <w:tc>
          <w:tcPr>
            <w:tcW w:w="0" w:type="auto"/>
            <w:tcBorders>
              <w:top w:val="single" w:sz="6" w:space="0" w:color="DDDDDD"/>
              <w:left w:val="single" w:sz="6" w:space="0" w:color="DDDDDD"/>
              <w:bottom w:val="single" w:sz="6" w:space="0" w:color="DDDDDD"/>
              <w:right w:val="single" w:sz="6" w:space="0" w:color="DDDDDD"/>
            </w:tcBorders>
            <w:tcMar>
              <w:top w:w="60" w:type="dxa"/>
              <w:left w:w="60" w:type="dxa"/>
              <w:bottom w:w="60" w:type="dxa"/>
              <w:right w:w="60" w:type="dxa"/>
            </w:tcMar>
            <w:vAlign w:val="bottom"/>
            <w:hideMark/>
          </w:tcPr>
          <w:p w14:paraId="65FAFDE1" w14:textId="77777777" w:rsidR="0029550F" w:rsidRPr="0029550F" w:rsidRDefault="0029550F" w:rsidP="0029550F">
            <w:r w:rsidRPr="0029550F">
              <w:t>48 x 33 x 24 in</w:t>
            </w:r>
          </w:p>
        </w:tc>
        <w:tc>
          <w:tcPr>
            <w:tcW w:w="0" w:type="auto"/>
            <w:tcBorders>
              <w:top w:val="single" w:sz="6" w:space="0" w:color="DDDDDD"/>
              <w:left w:val="single" w:sz="6" w:space="0" w:color="DDDDDD"/>
              <w:bottom w:val="single" w:sz="6" w:space="0" w:color="DDDDDD"/>
              <w:right w:val="single" w:sz="6" w:space="0" w:color="DDDDDD"/>
            </w:tcBorders>
            <w:tcMar>
              <w:top w:w="60" w:type="dxa"/>
              <w:left w:w="60" w:type="dxa"/>
              <w:bottom w:w="60" w:type="dxa"/>
              <w:right w:w="60" w:type="dxa"/>
            </w:tcMar>
            <w:vAlign w:val="bottom"/>
            <w:hideMark/>
          </w:tcPr>
          <w:p w14:paraId="68EA9147" w14:textId="77777777" w:rsidR="0029550F" w:rsidRPr="0029550F" w:rsidRDefault="0029550F" w:rsidP="0029550F">
            <w:r w:rsidRPr="0029550F">
              <w:t>84 x 42 x 54 in</w:t>
            </w:r>
          </w:p>
        </w:tc>
        <w:tc>
          <w:tcPr>
            <w:tcW w:w="0" w:type="auto"/>
            <w:tcBorders>
              <w:top w:val="single" w:sz="6" w:space="0" w:color="DDDDDD"/>
              <w:left w:val="single" w:sz="6" w:space="0" w:color="DDDDDD"/>
              <w:bottom w:val="single" w:sz="6" w:space="0" w:color="DDDDDD"/>
              <w:right w:val="single" w:sz="6" w:space="0" w:color="DDDDDD"/>
            </w:tcBorders>
            <w:tcMar>
              <w:top w:w="60" w:type="dxa"/>
              <w:left w:w="60" w:type="dxa"/>
              <w:bottom w:w="60" w:type="dxa"/>
              <w:right w:w="60" w:type="dxa"/>
            </w:tcMar>
            <w:vAlign w:val="bottom"/>
            <w:hideMark/>
          </w:tcPr>
          <w:p w14:paraId="09D44A41" w14:textId="77777777" w:rsidR="0029550F" w:rsidRPr="0029550F" w:rsidRDefault="0029550F" w:rsidP="0029550F">
            <w:r w:rsidRPr="0029550F">
              <w:t>16</w:t>
            </w:r>
          </w:p>
        </w:tc>
        <w:tc>
          <w:tcPr>
            <w:tcW w:w="0" w:type="auto"/>
            <w:tcBorders>
              <w:top w:val="single" w:sz="6" w:space="0" w:color="DDDDDD"/>
              <w:left w:val="single" w:sz="6" w:space="0" w:color="DDDDDD"/>
              <w:bottom w:val="single" w:sz="6" w:space="0" w:color="DDDDDD"/>
              <w:right w:val="single" w:sz="6" w:space="0" w:color="DDDDDD"/>
            </w:tcBorders>
            <w:tcMar>
              <w:top w:w="60" w:type="dxa"/>
              <w:left w:w="60" w:type="dxa"/>
              <w:bottom w:w="60" w:type="dxa"/>
              <w:right w:w="60" w:type="dxa"/>
            </w:tcMar>
            <w:vAlign w:val="bottom"/>
            <w:hideMark/>
          </w:tcPr>
          <w:p w14:paraId="303163F3" w14:textId="77777777" w:rsidR="0029550F" w:rsidRPr="0029550F" w:rsidRDefault="0029550F" w:rsidP="0029550F">
            <w:r w:rsidRPr="0029550F">
              <w:t>10</w:t>
            </w:r>
          </w:p>
        </w:tc>
        <w:tc>
          <w:tcPr>
            <w:tcW w:w="0" w:type="auto"/>
            <w:tcBorders>
              <w:top w:val="single" w:sz="6" w:space="0" w:color="DDDDDD"/>
              <w:left w:val="single" w:sz="6" w:space="0" w:color="DDDDDD"/>
              <w:bottom w:val="single" w:sz="6" w:space="0" w:color="DDDDDD"/>
              <w:right w:val="single" w:sz="6" w:space="0" w:color="DDDDDD"/>
            </w:tcBorders>
            <w:tcMar>
              <w:top w:w="60" w:type="dxa"/>
              <w:left w:w="60" w:type="dxa"/>
              <w:bottom w:w="60" w:type="dxa"/>
              <w:right w:w="60" w:type="dxa"/>
            </w:tcMar>
            <w:vAlign w:val="bottom"/>
            <w:hideMark/>
          </w:tcPr>
          <w:p w14:paraId="71D42DED" w14:textId="77777777" w:rsidR="0029550F" w:rsidRPr="0029550F" w:rsidRDefault="0029550F" w:rsidP="0029550F"/>
        </w:tc>
      </w:tr>
    </w:tbl>
    <w:p w14:paraId="5767B6D5" w14:textId="77777777" w:rsidR="00995BB8" w:rsidRDefault="00995BB8"/>
    <w:p w14:paraId="372F071D" w14:textId="3A89E020" w:rsidR="0029550F" w:rsidRDefault="0029550F">
      <w:r>
        <w:rPr>
          <w:rFonts w:hint="eastAsia"/>
        </w:rPr>
        <w:t>Option</w:t>
      </w:r>
    </w:p>
    <w:p w14:paraId="6D958FB2" w14:textId="77777777" w:rsidR="0029550F" w:rsidRDefault="0029550F"/>
    <w:p w14:paraId="41577418" w14:textId="77777777" w:rsidR="0029550F" w:rsidRPr="0029550F" w:rsidRDefault="0029550F" w:rsidP="0029550F">
      <w:r w:rsidRPr="0029550F">
        <w:t>Chamber</w:t>
      </w:r>
    </w:p>
    <w:p w14:paraId="530D96C8" w14:textId="77777777" w:rsidR="0029550F" w:rsidRPr="0029550F" w:rsidRDefault="0029550F" w:rsidP="0029550F">
      <w:pPr>
        <w:rPr>
          <w:b/>
          <w:bCs/>
        </w:rPr>
      </w:pPr>
      <w:hyperlink r:id="rId11" w:history="1">
        <w:r w:rsidRPr="0029550F">
          <w:rPr>
            <w:rStyle w:val="aa"/>
            <w:b/>
            <w:bCs/>
          </w:rPr>
          <w:t>Salt Fog Test </w:t>
        </w:r>
      </w:hyperlink>
      <w:r w:rsidRPr="0029550F">
        <w:rPr>
          <w:b/>
          <w:bCs/>
        </w:rPr>
        <w:t>Start Up Package (Part # 500110)</w:t>
      </w:r>
    </w:p>
    <w:p w14:paraId="4B5E5D3C" w14:textId="77777777" w:rsidR="0029550F" w:rsidRPr="0029550F" w:rsidRDefault="0029550F" w:rsidP="0029550F">
      <w:r w:rsidRPr="0029550F">
        <w:t>Includes two collector funnels with graduated cylinders, one 50lb bag of salt, and one specific gravity hydrometer. All items comply with ASTM B117. Also available as individual items.</w:t>
      </w:r>
    </w:p>
    <w:p w14:paraId="7E2B93D2" w14:textId="77777777" w:rsidR="0029550F" w:rsidRPr="0029550F" w:rsidRDefault="0029550F" w:rsidP="0029550F">
      <w:pPr>
        <w:rPr>
          <w:b/>
          <w:bCs/>
        </w:rPr>
      </w:pPr>
      <w:r w:rsidRPr="0029550F">
        <w:rPr>
          <w:b/>
          <w:bCs/>
        </w:rPr>
        <w:t>Salt Fog Start Up Package (Part # 500111)</w:t>
      </w:r>
    </w:p>
    <w:p w14:paraId="68D2D500" w14:textId="77777777" w:rsidR="0029550F" w:rsidRPr="0029550F" w:rsidRDefault="0029550F" w:rsidP="0029550F">
      <w:r w:rsidRPr="0029550F">
        <w:t>Same as 500110 except that it includes four collector funnels with graduated cylinders instead of two. For larger corrosion test chambers that have more than one fogging tower.</w:t>
      </w:r>
    </w:p>
    <w:p w14:paraId="7B42489F" w14:textId="77777777" w:rsidR="0029550F" w:rsidRPr="0029550F" w:rsidRDefault="0029550F" w:rsidP="0029550F">
      <w:pPr>
        <w:rPr>
          <w:b/>
          <w:bCs/>
        </w:rPr>
      </w:pPr>
      <w:r w:rsidRPr="0029550F">
        <w:rPr>
          <w:b/>
          <w:bCs/>
        </w:rPr>
        <w:t>External Condensate Collection Package (Part # 500120)</w:t>
      </w:r>
    </w:p>
    <w:p w14:paraId="38E903FB" w14:textId="77777777" w:rsidR="0029550F" w:rsidRPr="0029550F" w:rsidRDefault="0029550F" w:rsidP="0029550F">
      <w:r w:rsidRPr="0029550F">
        <w:t>The External Condensate Collection Package provides sampling of fog condensate </w:t>
      </w:r>
      <w:r w:rsidRPr="0029550F">
        <w:rPr>
          <w:i/>
          <w:iCs/>
        </w:rPr>
        <w:t xml:space="preserve">without opening the chamber or </w:t>
      </w:r>
      <w:proofErr w:type="spellStart"/>
      <w:r w:rsidRPr="0029550F">
        <w:rPr>
          <w:i/>
          <w:iCs/>
        </w:rPr>
        <w:t>interruping</w:t>
      </w:r>
      <w:proofErr w:type="spellEnd"/>
      <w:r w:rsidRPr="0029550F">
        <w:rPr>
          <w:i/>
          <w:iCs/>
        </w:rPr>
        <w:t xml:space="preserve"> testing</w:t>
      </w:r>
      <w:r w:rsidRPr="0029550F">
        <w:t>. Complete with two condensation collector assemblies mounted externally on stand and piped to collector funnels mounted in exposure zone</w:t>
      </w:r>
    </w:p>
    <w:p w14:paraId="5E4A96B6" w14:textId="77777777" w:rsidR="0029550F" w:rsidRPr="0029550F" w:rsidRDefault="0029550F" w:rsidP="0029550F">
      <w:pPr>
        <w:rPr>
          <w:b/>
          <w:bCs/>
        </w:rPr>
      </w:pPr>
      <w:r w:rsidRPr="0029550F">
        <w:rPr>
          <w:b/>
          <w:bCs/>
        </w:rPr>
        <w:t>External Condensate Collection Package (Part # 500140)</w:t>
      </w:r>
    </w:p>
    <w:p w14:paraId="6E84BED9" w14:textId="77777777" w:rsidR="0029550F" w:rsidRPr="0029550F" w:rsidRDefault="0029550F" w:rsidP="0029550F">
      <w:r w:rsidRPr="0029550F">
        <w:t>Same as 500140 except that it includes four condensation collector assemblies mounted externally on stand and piped to collector funnels mounted in exposure zone. For larger corrosion test chambers that have more than one fogging tower.</w:t>
      </w:r>
    </w:p>
    <w:p w14:paraId="759A78E6" w14:textId="77777777" w:rsidR="0029550F" w:rsidRPr="0029550F" w:rsidRDefault="0029550F" w:rsidP="0029550F">
      <w:pPr>
        <w:rPr>
          <w:b/>
          <w:bCs/>
        </w:rPr>
      </w:pPr>
      <w:r w:rsidRPr="0029550F">
        <w:rPr>
          <w:b/>
          <w:bCs/>
        </w:rPr>
        <w:t>Ontario Hydro Wiring Package (Canada Only)</w:t>
      </w:r>
    </w:p>
    <w:p w14:paraId="421D0950" w14:textId="77777777" w:rsidR="0029550F" w:rsidRPr="0029550F" w:rsidRDefault="0029550F" w:rsidP="0029550F">
      <w:r w:rsidRPr="0029550F">
        <w:t>Wiring to conform to Ontario Hydro Wiring Standards.</w:t>
      </w:r>
    </w:p>
    <w:p w14:paraId="6EFB2258" w14:textId="77777777" w:rsidR="0029550F" w:rsidRPr="0029550F" w:rsidRDefault="0029550F" w:rsidP="0029550F">
      <w:pPr>
        <w:rPr>
          <w:b/>
          <w:bCs/>
        </w:rPr>
      </w:pPr>
      <w:r w:rsidRPr="0029550F">
        <w:rPr>
          <w:b/>
          <w:bCs/>
        </w:rPr>
        <w:t>Exhaust</w:t>
      </w:r>
    </w:p>
    <w:p w14:paraId="33617378" w14:textId="77777777" w:rsidR="0029550F" w:rsidRPr="0029550F" w:rsidRDefault="0029550F" w:rsidP="0029550F">
      <w:pPr>
        <w:rPr>
          <w:b/>
          <w:bCs/>
        </w:rPr>
      </w:pPr>
      <w:r w:rsidRPr="0029550F">
        <w:rPr>
          <w:b/>
          <w:bCs/>
        </w:rPr>
        <w:t>Re-circulating Exhaust Condenser System (Part # 503360)</w:t>
      </w:r>
    </w:p>
    <w:p w14:paraId="3C9792D8" w14:textId="77777777" w:rsidR="0029550F" w:rsidRPr="0029550F" w:rsidRDefault="0029550F" w:rsidP="0029550F">
      <w:r w:rsidRPr="0029550F">
        <w:t>System condenses and collects chamber exhaust into a separate 24 gallon reservoir mounted on Level-Matic® stand. System is completely self-contained, no outside vent required.</w:t>
      </w:r>
    </w:p>
    <w:p w14:paraId="1DE9308D" w14:textId="77777777" w:rsidR="0029550F" w:rsidRPr="0029550F" w:rsidRDefault="0029550F" w:rsidP="0029550F">
      <w:pPr>
        <w:rPr>
          <w:b/>
          <w:bCs/>
        </w:rPr>
      </w:pPr>
      <w:r w:rsidRPr="0029550F">
        <w:rPr>
          <w:b/>
          <w:bCs/>
        </w:rPr>
        <w:t>Salt Solution Convenience</w:t>
      </w:r>
    </w:p>
    <w:p w14:paraId="15F86106" w14:textId="77777777" w:rsidR="0029550F" w:rsidRPr="0029550F" w:rsidRDefault="0029550F" w:rsidP="0029550F">
      <w:pPr>
        <w:rPr>
          <w:b/>
          <w:bCs/>
        </w:rPr>
      </w:pPr>
      <w:r w:rsidRPr="0029550F">
        <w:rPr>
          <w:b/>
          <w:bCs/>
        </w:rPr>
        <w:t>Auxiliary Salt Solution Mixing and Storage Tank* (Part # 503600)</w:t>
      </w:r>
    </w:p>
    <w:p w14:paraId="74AEE7D0" w14:textId="77777777" w:rsidR="0029550F" w:rsidRPr="0029550F" w:rsidRDefault="0029550F" w:rsidP="0029550F">
      <w:r w:rsidRPr="0029550F">
        <w:t>Separate polypropylene tank with re-circulating/mixing pump and filtration system for homogeneous/uniform solution makeup. Pump system also permits transfer of solution to test apparatus. Includes aeration/ air sparger system and controls for unattended mixing of salt solution. Mounted on a portable stand with casters. Available in 55-gallon capacity. Very convenient for multiple chamber installations.</w:t>
      </w:r>
    </w:p>
    <w:p w14:paraId="00B5A9B2" w14:textId="77777777" w:rsidR="0029550F" w:rsidRDefault="0029550F">
      <w:pPr>
        <w:rPr>
          <w:rFonts w:hint="eastAsia"/>
        </w:rPr>
      </w:pPr>
    </w:p>
    <w:p w14:paraId="416DEE1A" w14:textId="77777777" w:rsidR="0029550F" w:rsidRDefault="0029550F">
      <w:pPr>
        <w:rPr>
          <w:rFonts w:hint="eastAsia"/>
        </w:rPr>
      </w:pPr>
    </w:p>
    <w:sectPr w:rsidR="002955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B772B4"/>
    <w:multiLevelType w:val="multilevel"/>
    <w:tmpl w:val="80D00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3886FD0"/>
    <w:multiLevelType w:val="multilevel"/>
    <w:tmpl w:val="A2426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61127044">
    <w:abstractNumId w:val="0"/>
  </w:num>
  <w:num w:numId="2" w16cid:durableId="12118416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BB8"/>
    <w:rsid w:val="0029550F"/>
    <w:rsid w:val="008C1271"/>
    <w:rsid w:val="00995BB8"/>
    <w:rsid w:val="00BA2927"/>
    <w:rsid w:val="00F070D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56286"/>
  <w15:chartTrackingRefBased/>
  <w15:docId w15:val="{44B39894-EC5D-41B0-9395-79900E400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995B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995B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995BB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995BB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995BB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995BB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95BB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95BB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95BB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995BB8"/>
    <w:rPr>
      <w:rFonts w:asciiTheme="majorHAnsi" w:eastAsiaTheme="majorEastAsia" w:hAnsiTheme="majorHAnsi" w:cstheme="majorBidi"/>
      <w:color w:val="0F4761" w:themeColor="accent1" w:themeShade="BF"/>
      <w:sz w:val="40"/>
      <w:szCs w:val="40"/>
    </w:rPr>
  </w:style>
  <w:style w:type="character" w:customStyle="1" w:styleId="2Char">
    <w:name w:val="제목 2 Char"/>
    <w:basedOn w:val="a0"/>
    <w:link w:val="2"/>
    <w:uiPriority w:val="9"/>
    <w:semiHidden/>
    <w:rsid w:val="00995BB8"/>
    <w:rPr>
      <w:rFonts w:asciiTheme="majorHAnsi" w:eastAsiaTheme="majorEastAsia" w:hAnsiTheme="majorHAnsi" w:cstheme="majorBidi"/>
      <w:color w:val="0F4761" w:themeColor="accent1" w:themeShade="BF"/>
      <w:sz w:val="32"/>
      <w:szCs w:val="32"/>
    </w:rPr>
  </w:style>
  <w:style w:type="character" w:customStyle="1" w:styleId="3Char">
    <w:name w:val="제목 3 Char"/>
    <w:basedOn w:val="a0"/>
    <w:link w:val="3"/>
    <w:uiPriority w:val="9"/>
    <w:semiHidden/>
    <w:rsid w:val="00995BB8"/>
    <w:rPr>
      <w:rFonts w:eastAsiaTheme="majorEastAsia" w:cstheme="majorBidi"/>
      <w:color w:val="0F4761" w:themeColor="accent1" w:themeShade="BF"/>
      <w:sz w:val="28"/>
      <w:szCs w:val="28"/>
    </w:rPr>
  </w:style>
  <w:style w:type="character" w:customStyle="1" w:styleId="4Char">
    <w:name w:val="제목 4 Char"/>
    <w:basedOn w:val="a0"/>
    <w:link w:val="4"/>
    <w:uiPriority w:val="9"/>
    <w:semiHidden/>
    <w:rsid w:val="00995BB8"/>
    <w:rPr>
      <w:rFonts w:eastAsiaTheme="majorEastAsia" w:cstheme="majorBidi"/>
      <w:i/>
      <w:iCs/>
      <w:color w:val="0F4761" w:themeColor="accent1" w:themeShade="BF"/>
    </w:rPr>
  </w:style>
  <w:style w:type="character" w:customStyle="1" w:styleId="5Char">
    <w:name w:val="제목 5 Char"/>
    <w:basedOn w:val="a0"/>
    <w:link w:val="5"/>
    <w:uiPriority w:val="9"/>
    <w:semiHidden/>
    <w:rsid w:val="00995BB8"/>
    <w:rPr>
      <w:rFonts w:eastAsiaTheme="majorEastAsia" w:cstheme="majorBidi"/>
      <w:color w:val="0F4761" w:themeColor="accent1" w:themeShade="BF"/>
    </w:rPr>
  </w:style>
  <w:style w:type="character" w:customStyle="1" w:styleId="6Char">
    <w:name w:val="제목 6 Char"/>
    <w:basedOn w:val="a0"/>
    <w:link w:val="6"/>
    <w:uiPriority w:val="9"/>
    <w:semiHidden/>
    <w:rsid w:val="00995BB8"/>
    <w:rPr>
      <w:rFonts w:eastAsiaTheme="majorEastAsia" w:cstheme="majorBidi"/>
      <w:i/>
      <w:iCs/>
      <w:color w:val="595959" w:themeColor="text1" w:themeTint="A6"/>
    </w:rPr>
  </w:style>
  <w:style w:type="character" w:customStyle="1" w:styleId="7Char">
    <w:name w:val="제목 7 Char"/>
    <w:basedOn w:val="a0"/>
    <w:link w:val="7"/>
    <w:uiPriority w:val="9"/>
    <w:semiHidden/>
    <w:rsid w:val="00995BB8"/>
    <w:rPr>
      <w:rFonts w:eastAsiaTheme="majorEastAsia" w:cstheme="majorBidi"/>
      <w:color w:val="595959" w:themeColor="text1" w:themeTint="A6"/>
    </w:rPr>
  </w:style>
  <w:style w:type="character" w:customStyle="1" w:styleId="8Char">
    <w:name w:val="제목 8 Char"/>
    <w:basedOn w:val="a0"/>
    <w:link w:val="8"/>
    <w:uiPriority w:val="9"/>
    <w:semiHidden/>
    <w:rsid w:val="00995BB8"/>
    <w:rPr>
      <w:rFonts w:eastAsiaTheme="majorEastAsia" w:cstheme="majorBidi"/>
      <w:i/>
      <w:iCs/>
      <w:color w:val="272727" w:themeColor="text1" w:themeTint="D8"/>
    </w:rPr>
  </w:style>
  <w:style w:type="character" w:customStyle="1" w:styleId="9Char">
    <w:name w:val="제목 9 Char"/>
    <w:basedOn w:val="a0"/>
    <w:link w:val="9"/>
    <w:uiPriority w:val="9"/>
    <w:semiHidden/>
    <w:rsid w:val="00995BB8"/>
    <w:rPr>
      <w:rFonts w:eastAsiaTheme="majorEastAsia" w:cstheme="majorBidi"/>
      <w:color w:val="272727" w:themeColor="text1" w:themeTint="D8"/>
    </w:rPr>
  </w:style>
  <w:style w:type="paragraph" w:styleId="a3">
    <w:name w:val="Title"/>
    <w:basedOn w:val="a"/>
    <w:next w:val="a"/>
    <w:link w:val="Char"/>
    <w:uiPriority w:val="10"/>
    <w:qFormat/>
    <w:rsid w:val="00995B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995BB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95BB8"/>
    <w:pPr>
      <w:numPr>
        <w:ilvl w:val="1"/>
      </w:numPr>
    </w:pPr>
    <w:rPr>
      <w:rFonts w:eastAsiaTheme="majorEastAsia" w:cstheme="majorBidi"/>
      <w:color w:val="595959" w:themeColor="text1" w:themeTint="A6"/>
      <w:spacing w:val="15"/>
      <w:sz w:val="28"/>
      <w:szCs w:val="28"/>
    </w:rPr>
  </w:style>
  <w:style w:type="character" w:customStyle="1" w:styleId="Char0">
    <w:name w:val="부제 Char"/>
    <w:basedOn w:val="a0"/>
    <w:link w:val="a4"/>
    <w:uiPriority w:val="11"/>
    <w:rsid w:val="00995BB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95BB8"/>
    <w:pPr>
      <w:spacing w:before="160"/>
      <w:jc w:val="center"/>
    </w:pPr>
    <w:rPr>
      <w:i/>
      <w:iCs/>
      <w:color w:val="404040" w:themeColor="text1" w:themeTint="BF"/>
    </w:rPr>
  </w:style>
  <w:style w:type="character" w:customStyle="1" w:styleId="Char1">
    <w:name w:val="인용 Char"/>
    <w:basedOn w:val="a0"/>
    <w:link w:val="a5"/>
    <w:uiPriority w:val="29"/>
    <w:rsid w:val="00995BB8"/>
    <w:rPr>
      <w:i/>
      <w:iCs/>
      <w:color w:val="404040" w:themeColor="text1" w:themeTint="BF"/>
    </w:rPr>
  </w:style>
  <w:style w:type="paragraph" w:styleId="a6">
    <w:name w:val="List Paragraph"/>
    <w:basedOn w:val="a"/>
    <w:uiPriority w:val="34"/>
    <w:qFormat/>
    <w:rsid w:val="00995BB8"/>
    <w:pPr>
      <w:ind w:left="720"/>
      <w:contextualSpacing/>
    </w:pPr>
  </w:style>
  <w:style w:type="character" w:styleId="a7">
    <w:name w:val="Intense Emphasis"/>
    <w:basedOn w:val="a0"/>
    <w:uiPriority w:val="21"/>
    <w:qFormat/>
    <w:rsid w:val="00995BB8"/>
    <w:rPr>
      <w:i/>
      <w:iCs/>
      <w:color w:val="0F4761" w:themeColor="accent1" w:themeShade="BF"/>
    </w:rPr>
  </w:style>
  <w:style w:type="paragraph" w:styleId="a8">
    <w:name w:val="Intense Quote"/>
    <w:basedOn w:val="a"/>
    <w:next w:val="a"/>
    <w:link w:val="Char2"/>
    <w:uiPriority w:val="30"/>
    <w:qFormat/>
    <w:rsid w:val="00995B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995BB8"/>
    <w:rPr>
      <w:i/>
      <w:iCs/>
      <w:color w:val="0F4761" w:themeColor="accent1" w:themeShade="BF"/>
    </w:rPr>
  </w:style>
  <w:style w:type="character" w:styleId="a9">
    <w:name w:val="Intense Reference"/>
    <w:basedOn w:val="a0"/>
    <w:uiPriority w:val="32"/>
    <w:qFormat/>
    <w:rsid w:val="00995BB8"/>
    <w:rPr>
      <w:b/>
      <w:bCs/>
      <w:smallCaps/>
      <w:color w:val="0F4761" w:themeColor="accent1" w:themeShade="BF"/>
      <w:spacing w:val="5"/>
    </w:rPr>
  </w:style>
  <w:style w:type="character" w:styleId="aa">
    <w:name w:val="Hyperlink"/>
    <w:basedOn w:val="a0"/>
    <w:uiPriority w:val="99"/>
    <w:unhideWhenUsed/>
    <w:rsid w:val="00995BB8"/>
    <w:rPr>
      <w:color w:val="467886" w:themeColor="hyperlink"/>
      <w:u w:val="single"/>
    </w:rPr>
  </w:style>
  <w:style w:type="character" w:styleId="ab">
    <w:name w:val="Unresolved Mention"/>
    <w:basedOn w:val="a0"/>
    <w:uiPriority w:val="99"/>
    <w:semiHidden/>
    <w:unhideWhenUsed/>
    <w:rsid w:val="00995B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4035789">
      <w:bodyDiv w:val="1"/>
      <w:marLeft w:val="0"/>
      <w:marRight w:val="0"/>
      <w:marTop w:val="0"/>
      <w:marBottom w:val="0"/>
      <w:divBdr>
        <w:top w:val="none" w:sz="0" w:space="0" w:color="auto"/>
        <w:left w:val="none" w:sz="0" w:space="0" w:color="auto"/>
        <w:bottom w:val="none" w:sz="0" w:space="0" w:color="auto"/>
        <w:right w:val="none" w:sz="0" w:space="0" w:color="auto"/>
      </w:divBdr>
      <w:divsChild>
        <w:div w:id="1003514699">
          <w:blockQuote w:val="1"/>
          <w:marLeft w:val="0"/>
          <w:marRight w:val="0"/>
          <w:marTop w:val="0"/>
          <w:marBottom w:val="0"/>
          <w:divBdr>
            <w:top w:val="none" w:sz="0" w:space="0" w:color="auto"/>
            <w:left w:val="none" w:sz="0" w:space="0" w:color="auto"/>
            <w:bottom w:val="none" w:sz="0" w:space="0" w:color="auto"/>
            <w:right w:val="none" w:sz="0" w:space="0" w:color="auto"/>
          </w:divBdr>
        </w:div>
        <w:div w:id="904677882">
          <w:blockQuote w:val="1"/>
          <w:marLeft w:val="0"/>
          <w:marRight w:val="0"/>
          <w:marTop w:val="0"/>
          <w:marBottom w:val="0"/>
          <w:divBdr>
            <w:top w:val="none" w:sz="0" w:space="0" w:color="auto"/>
            <w:left w:val="none" w:sz="0" w:space="0" w:color="auto"/>
            <w:bottom w:val="none" w:sz="0" w:space="0" w:color="auto"/>
            <w:right w:val="none" w:sz="0" w:space="0" w:color="auto"/>
          </w:divBdr>
        </w:div>
        <w:div w:id="3419326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22212364">
      <w:bodyDiv w:val="1"/>
      <w:marLeft w:val="0"/>
      <w:marRight w:val="0"/>
      <w:marTop w:val="0"/>
      <w:marBottom w:val="0"/>
      <w:divBdr>
        <w:top w:val="none" w:sz="0" w:space="0" w:color="auto"/>
        <w:left w:val="none" w:sz="0" w:space="0" w:color="auto"/>
        <w:bottom w:val="none" w:sz="0" w:space="0" w:color="auto"/>
        <w:right w:val="none" w:sz="0" w:space="0" w:color="auto"/>
      </w:divBdr>
    </w:div>
    <w:div w:id="813370878">
      <w:bodyDiv w:val="1"/>
      <w:marLeft w:val="0"/>
      <w:marRight w:val="0"/>
      <w:marTop w:val="0"/>
      <w:marBottom w:val="0"/>
      <w:divBdr>
        <w:top w:val="none" w:sz="0" w:space="0" w:color="auto"/>
        <w:left w:val="none" w:sz="0" w:space="0" w:color="auto"/>
        <w:bottom w:val="none" w:sz="0" w:space="0" w:color="auto"/>
        <w:right w:val="none" w:sz="0" w:space="0" w:color="auto"/>
      </w:divBdr>
    </w:div>
    <w:div w:id="913390275">
      <w:bodyDiv w:val="1"/>
      <w:marLeft w:val="0"/>
      <w:marRight w:val="0"/>
      <w:marTop w:val="0"/>
      <w:marBottom w:val="0"/>
      <w:divBdr>
        <w:top w:val="none" w:sz="0" w:space="0" w:color="auto"/>
        <w:left w:val="none" w:sz="0" w:space="0" w:color="auto"/>
        <w:bottom w:val="none" w:sz="0" w:space="0" w:color="auto"/>
        <w:right w:val="none" w:sz="0" w:space="0" w:color="auto"/>
      </w:divBdr>
    </w:div>
    <w:div w:id="1813404069">
      <w:bodyDiv w:val="1"/>
      <w:marLeft w:val="0"/>
      <w:marRight w:val="0"/>
      <w:marTop w:val="0"/>
      <w:marBottom w:val="0"/>
      <w:divBdr>
        <w:top w:val="none" w:sz="0" w:space="0" w:color="auto"/>
        <w:left w:val="none" w:sz="0" w:space="0" w:color="auto"/>
        <w:bottom w:val="none" w:sz="0" w:space="0" w:color="auto"/>
        <w:right w:val="none" w:sz="0" w:space="0" w:color="auto"/>
      </w:divBdr>
      <w:divsChild>
        <w:div w:id="1470130620">
          <w:blockQuote w:val="1"/>
          <w:marLeft w:val="0"/>
          <w:marRight w:val="0"/>
          <w:marTop w:val="0"/>
          <w:marBottom w:val="0"/>
          <w:divBdr>
            <w:top w:val="none" w:sz="0" w:space="0" w:color="auto"/>
            <w:left w:val="none" w:sz="0" w:space="0" w:color="auto"/>
            <w:bottom w:val="none" w:sz="0" w:space="0" w:color="auto"/>
            <w:right w:val="none" w:sz="0" w:space="0" w:color="auto"/>
          </w:divBdr>
        </w:div>
        <w:div w:id="120005691">
          <w:blockQuote w:val="1"/>
          <w:marLeft w:val="0"/>
          <w:marRight w:val="0"/>
          <w:marTop w:val="0"/>
          <w:marBottom w:val="0"/>
          <w:divBdr>
            <w:top w:val="none" w:sz="0" w:space="0" w:color="auto"/>
            <w:left w:val="none" w:sz="0" w:space="0" w:color="auto"/>
            <w:bottom w:val="none" w:sz="0" w:space="0" w:color="auto"/>
            <w:right w:val="none" w:sz="0" w:space="0" w:color="auto"/>
          </w:divBdr>
        </w:div>
        <w:div w:id="185263962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12719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ngletoncorp.com/scch-salt-fog-chamber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ingletoncorp.com/environmental-test-chamber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ngletoncorp.com/test-specifications" TargetMode="External"/><Relationship Id="rId11" Type="http://schemas.openxmlformats.org/officeDocument/2006/relationships/hyperlink" Target="https://singletoncorp.com/scch-salt-fog-chambers" TargetMode="External"/><Relationship Id="rId5" Type="http://schemas.openxmlformats.org/officeDocument/2006/relationships/hyperlink" Target="https://singletoncorp.com/support" TargetMode="External"/><Relationship Id="rId10" Type="http://schemas.openxmlformats.org/officeDocument/2006/relationships/hyperlink" Target="https://singletoncorp.com/witt-immersion-systems" TargetMode="External"/><Relationship Id="rId4" Type="http://schemas.openxmlformats.org/officeDocument/2006/relationships/webSettings" Target="webSettings.xml"/><Relationship Id="rId9" Type="http://schemas.openxmlformats.org/officeDocument/2006/relationships/hyperlink" Target="https://singletoncorp.com/dust-chamber"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755</Words>
  <Characters>4308</Characters>
  <Application>Microsoft Office Word</Application>
  <DocSecurity>0</DocSecurity>
  <Lines>35</Lines>
  <Paragraphs>10</Paragraphs>
  <ScaleCrop>false</ScaleCrop>
  <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SOOKWANG ROH</dc:creator>
  <cp:keywords/>
  <dc:description/>
  <cp:lastModifiedBy>SOOKWANG ROH</cp:lastModifiedBy>
  <cp:revision>2</cp:revision>
  <dcterms:created xsi:type="dcterms:W3CDTF">2025-07-02T10:27:00Z</dcterms:created>
  <dcterms:modified xsi:type="dcterms:W3CDTF">2025-07-02T10:31:00Z</dcterms:modified>
</cp:coreProperties>
</file>